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2A" w:rsidRDefault="0033362C">
      <w:pPr>
        <w:pStyle w:val="a5"/>
        <w:framePr w:wrap="around" w:vAnchor="page" w:hAnchor="page" w:x="3586" w:y="4021"/>
        <w:shd w:val="clear" w:color="auto" w:fill="auto"/>
        <w:spacing w:line="150" w:lineRule="exact"/>
        <w:ind w:left="20"/>
      </w:pPr>
      <w:r>
        <w:rPr>
          <w:rStyle w:val="2pt"/>
        </w:rPr>
        <w:t>Спор</w:t>
      </w:r>
      <w:r w:rsidR="00865F1A">
        <w:rPr>
          <w:rStyle w:val="2pt"/>
        </w:rPr>
        <w:t>т.</w:t>
      </w:r>
      <w:r w:rsidR="00865F1A">
        <w:t xml:space="preserve"> смена Март 2021</w:t>
      </w:r>
    </w:p>
    <w:p w:rsidR="00CD6A2A" w:rsidRDefault="00865F1A">
      <w:pPr>
        <w:pStyle w:val="10"/>
        <w:framePr w:w="9672" w:h="2382" w:hRule="exact" w:wrap="around" w:vAnchor="page" w:hAnchor="page" w:x="3859" w:y="4357"/>
        <w:shd w:val="clear" w:color="auto" w:fill="auto"/>
        <w:spacing w:after="102" w:line="1140" w:lineRule="exact"/>
        <w:ind w:left="60"/>
      </w:pPr>
      <w:bookmarkStart w:id="0" w:name="bookmark0"/>
      <w:r>
        <w:t>Волей Б ©ЛЬ</w:t>
      </w:r>
      <w:bookmarkEnd w:id="0"/>
    </w:p>
    <w:p w:rsidR="00CD6A2A" w:rsidRDefault="00865F1A">
      <w:pPr>
        <w:pStyle w:val="20"/>
        <w:framePr w:w="9672" w:h="2382" w:hRule="exact" w:wrap="around" w:vAnchor="page" w:hAnchor="page" w:x="3859" w:y="4357"/>
        <w:shd w:val="clear" w:color="auto" w:fill="auto"/>
        <w:spacing w:before="0"/>
        <w:ind w:left="60" w:right="1300"/>
      </w:pPr>
      <w:bookmarkStart w:id="1" w:name="bookmark1"/>
      <w:r>
        <w:t>« Белогорье &gt;&gt; завершаю регулярный чемпионат на последнем месте</w:t>
      </w:r>
      <w:bookmarkEnd w:id="1"/>
    </w:p>
    <w:p w:rsidR="00CD6A2A" w:rsidRDefault="00865F1A">
      <w:pPr>
        <w:pStyle w:val="22"/>
        <w:framePr w:w="4694" w:h="7410" w:hRule="exact" w:wrap="around" w:vAnchor="page" w:hAnchor="page" w:x="3845" w:y="6837"/>
        <w:shd w:val="clear" w:color="auto" w:fill="auto"/>
        <w:spacing w:after="176"/>
        <w:ind w:right="40"/>
      </w:pPr>
      <w:r>
        <w:rPr>
          <w:rStyle w:val="20pt"/>
        </w:rPr>
        <w:t xml:space="preserve">1 </w:t>
      </w:r>
      <w:r>
        <w:t>МАРТА КАУБ РАССТАЛСЯ С БРАЗИЛЬСКИМ ТРЕ</w:t>
      </w:r>
      <w:r>
        <w:softHyphen/>
        <w:t>НЕРОМ МАРКОСОМ МИРАНДОЙ ПОСЛЕ ДЕВЯ</w:t>
      </w:r>
      <w:r>
        <w:softHyphen/>
        <w:t>ТИ ПОРАЖЕНИЙ ПОДРЯД. КОНЦОВКУ СЕЗОНА -ЛЬВЫ» ПРОВОДЯТ ПОД РУКОВОДСТВОМ ДУЭТА ЛЕГЕНД</w:t>
      </w:r>
      <w:r>
        <w:t xml:space="preserve"> БЕЛГОРОДСКОГО ВОЛЕЙБОЛА - АЛЕК</w:t>
      </w:r>
      <w:r>
        <w:softHyphen/>
        <w:t>СЕЯ КАЗАКОВА И АЛЕКСАНДРА КОСАРЕВА. МАК</w:t>
      </w:r>
      <w:r>
        <w:softHyphen/>
        <w:t>СИМУМ, НА ЧТО МОЖЕТ РАССЧИТЫВАТЬ «БЕЛОГО- РЬЕ», - 11-Е МЕСТО. ДЛЯ ЭТОГО НАДО ВЫИГРАТЬ МИНИ-ТУРНИР АУТСАЙДЕРОВ.</w:t>
      </w:r>
    </w:p>
    <w:p w:rsidR="00CD6A2A" w:rsidRDefault="00865F1A">
      <w:pPr>
        <w:pStyle w:val="30"/>
        <w:framePr w:w="4694" w:h="7410" w:hRule="exact" w:wrap="around" w:vAnchor="page" w:hAnchor="page" w:x="3845" w:y="6837"/>
        <w:shd w:val="clear" w:color="auto" w:fill="auto"/>
        <w:spacing w:before="0"/>
        <w:ind w:left="660"/>
      </w:pPr>
      <w:r>
        <w:t>16 февраля.</w:t>
      </w:r>
    </w:p>
    <w:p w:rsidR="00CD6A2A" w:rsidRDefault="00865F1A">
      <w:pPr>
        <w:pStyle w:val="40"/>
        <w:framePr w:w="4694" w:h="7410" w:hRule="exact" w:wrap="around" w:vAnchor="page" w:hAnchor="page" w:x="3845" w:y="6837"/>
        <w:shd w:val="clear" w:color="auto" w:fill="auto"/>
        <w:spacing w:after="184"/>
        <w:ind w:left="660" w:right="1400"/>
      </w:pPr>
      <w:r>
        <w:t xml:space="preserve">«Белогорье» - «Кузбасс» - 1:3 </w:t>
      </w:r>
      <w:r>
        <w:rPr>
          <w:rStyle w:val="40pt"/>
        </w:rPr>
        <w:t>(22:25, 25:14, 21:25, 19:25)</w:t>
      </w:r>
    </w:p>
    <w:p w:rsidR="00CD6A2A" w:rsidRDefault="00865F1A">
      <w:pPr>
        <w:pStyle w:val="23"/>
        <w:framePr w:w="4694" w:h="7410" w:hRule="exact" w:wrap="around" w:vAnchor="page" w:hAnchor="page" w:x="3845" w:y="6837"/>
        <w:shd w:val="clear" w:color="auto" w:fill="auto"/>
        <w:spacing w:before="0"/>
        <w:ind w:left="660" w:right="40"/>
      </w:pPr>
      <w:r>
        <w:t>Против второго места чемпионата шансов у «Бе- логорья» было немного, но они дали фавориту бой. До самого конца первой партии команды шли очко в очко, гости оторвались лишь на финише. А второй сет белгородцы и вовсе выиграли с круп</w:t>
      </w:r>
      <w:r>
        <w:softHyphen/>
        <w:t>ным счётом — наша команда</w:t>
      </w:r>
      <w:r>
        <w:t xml:space="preserve"> превосходила сопер</w:t>
      </w:r>
      <w:r>
        <w:softHyphen/>
        <w:t>ника во всех компонентах игры. Третья партия да</w:t>
      </w:r>
      <w:r>
        <w:softHyphen/>
        <w:t>вала надежду на успешный исход поединка: «львы» вели 18:16, но, похоже, сами не поверили в проис</w:t>
      </w:r>
      <w:r>
        <w:softHyphen/>
        <w:t>ходящее на площадке, стали ошибаться и отдали сет. А потом и матч.</w:t>
      </w:r>
    </w:p>
    <w:p w:rsidR="00CD6A2A" w:rsidRDefault="00865F1A">
      <w:pPr>
        <w:pStyle w:val="23"/>
        <w:framePr w:w="4694" w:h="7410" w:hRule="exact" w:wrap="around" w:vAnchor="page" w:hAnchor="page" w:x="3845" w:y="6837"/>
        <w:shd w:val="clear" w:color="auto" w:fill="auto"/>
        <w:spacing w:before="0" w:after="0"/>
        <w:ind w:left="660" w:right="40"/>
      </w:pPr>
      <w:r>
        <w:t xml:space="preserve">— Последние две игры мы </w:t>
      </w:r>
      <w:r>
        <w:t>стали показывать хоть какой-то волейбол, — сказал капитан «Белогорья» Игорь Колодинский. — Во второй партии сильно напрягли соперника подачей, в целом сегодня хо</w:t>
      </w:r>
      <w:r>
        <w:softHyphen/>
        <w:t>рошо сработали на блоке и в защите. Но нас пре</w:t>
      </w:r>
      <w:r>
        <w:softHyphen/>
        <w:t>следует проблема доигровок.</w:t>
      </w:r>
    </w:p>
    <w:p w:rsidR="00CD6A2A" w:rsidRDefault="00865F1A">
      <w:pPr>
        <w:pStyle w:val="30"/>
        <w:framePr w:w="5107" w:h="10624" w:hRule="exact" w:wrap="around" w:vAnchor="page" w:hAnchor="page" w:x="8799" w:y="6857"/>
        <w:shd w:val="clear" w:color="auto" w:fill="auto"/>
        <w:spacing w:before="0"/>
        <w:ind w:left="20"/>
      </w:pPr>
      <w:r>
        <w:rPr>
          <w:rStyle w:val="31"/>
        </w:rPr>
        <w:t>27 февраля.</w:t>
      </w:r>
    </w:p>
    <w:p w:rsidR="00CD6A2A" w:rsidRDefault="00865F1A">
      <w:pPr>
        <w:pStyle w:val="30"/>
        <w:framePr w:w="5107" w:h="10624" w:hRule="exact" w:wrap="around" w:vAnchor="page" w:hAnchor="page" w:x="8799" w:y="6857"/>
        <w:shd w:val="clear" w:color="auto" w:fill="auto"/>
        <w:spacing w:before="0" w:after="184"/>
        <w:ind w:left="20" w:right="2400"/>
      </w:pPr>
      <w:r>
        <w:rPr>
          <w:rStyle w:val="31"/>
        </w:rPr>
        <w:t>«Динамо</w:t>
      </w:r>
      <w:r>
        <w:rPr>
          <w:rStyle w:val="31"/>
        </w:rPr>
        <w:t>» - «Белогорье» - 3:0 (25:15, 25:17, 25:18)</w:t>
      </w:r>
    </w:p>
    <w:p w:rsidR="00CD6A2A" w:rsidRDefault="00865F1A">
      <w:pPr>
        <w:pStyle w:val="23"/>
        <w:framePr w:w="5107" w:h="10624" w:hRule="exact" w:wrap="around" w:vAnchor="page" w:hAnchor="page" w:x="8799" w:y="6857"/>
        <w:shd w:val="clear" w:color="auto" w:fill="auto"/>
        <w:spacing w:before="0" w:after="233"/>
        <w:ind w:left="20" w:right="1080"/>
      </w:pPr>
      <w:r>
        <w:t>Московские динамовцы прошли регулярку все</w:t>
      </w:r>
      <w:r>
        <w:softHyphen/>
        <w:t>го с двумя поражениями, и для «Белогорья» было бы за счастье зацепить хоть один сет. То, что чуда не случится, стало ясно ещё на предматчевой раз</w:t>
      </w:r>
      <w:r>
        <w:softHyphen/>
        <w:t>минке — Колодинский трав</w:t>
      </w:r>
      <w:r>
        <w:t>мировал глаз. Лишён</w:t>
      </w:r>
      <w:r>
        <w:softHyphen/>
        <w:t>ные основного пасующего, «львы» по ходу поедин</w:t>
      </w:r>
      <w:r>
        <w:softHyphen/>
        <w:t>ка лишь обозначали борьбу и предсказуемо усту</w:t>
      </w:r>
      <w:r>
        <w:softHyphen/>
        <w:t>пили в трёх партиях. Это поражение стало для «Белогорья» девятым подряд, то есть повторени</w:t>
      </w:r>
      <w:r>
        <w:softHyphen/>
        <w:t>ем антирекорда суперлиги-2007/08. К сожалению, уже ч</w:t>
      </w:r>
      <w:r>
        <w:t>ерез неделю он был обновлён.</w:t>
      </w:r>
    </w:p>
    <w:p w:rsidR="00CD6A2A" w:rsidRDefault="00865F1A">
      <w:pPr>
        <w:pStyle w:val="30"/>
        <w:framePr w:w="5107" w:h="10624" w:hRule="exact" w:wrap="around" w:vAnchor="page" w:hAnchor="page" w:x="8799" w:y="6857"/>
        <w:shd w:val="clear" w:color="auto" w:fill="auto"/>
        <w:spacing w:before="0" w:line="160" w:lineRule="exact"/>
        <w:ind w:left="20"/>
      </w:pPr>
      <w:r>
        <w:rPr>
          <w:rStyle w:val="31"/>
        </w:rPr>
        <w:t>6 марта.</w:t>
      </w:r>
    </w:p>
    <w:p w:rsidR="00CD6A2A" w:rsidRDefault="00865F1A">
      <w:pPr>
        <w:pStyle w:val="30"/>
        <w:framePr w:w="5107" w:h="10624" w:hRule="exact" w:wrap="around" w:vAnchor="page" w:hAnchor="page" w:x="8799" w:y="6857"/>
        <w:shd w:val="clear" w:color="auto" w:fill="auto"/>
        <w:spacing w:before="0" w:after="184"/>
        <w:ind w:left="20" w:right="1080"/>
      </w:pPr>
      <w:r>
        <w:rPr>
          <w:rStyle w:val="31"/>
        </w:rPr>
        <w:t>«Белогорье» - «Зенит» - 1:3 (25:22,17:25,14:25, 20:25)</w:t>
      </w:r>
    </w:p>
    <w:p w:rsidR="00CD6A2A" w:rsidRDefault="00865F1A">
      <w:pPr>
        <w:pStyle w:val="23"/>
        <w:framePr w:w="5107" w:h="10624" w:hRule="exact" w:wrap="around" w:vAnchor="page" w:hAnchor="page" w:x="8799" w:y="6857"/>
        <w:shd w:val="clear" w:color="auto" w:fill="auto"/>
        <w:spacing w:before="0"/>
        <w:ind w:left="20" w:right="1080"/>
      </w:pPr>
      <w:r>
        <w:t>К домашней встрече с командой из Санкт-Петер</w:t>
      </w:r>
      <w:r>
        <w:softHyphen/>
        <w:t xml:space="preserve">бурга наконец-то восстановился после травмы один из лидеров «Белогорья» доигровщик Павел Тетюхин. Правда, тренеры </w:t>
      </w:r>
      <w:r>
        <w:t>выпустили его на пози</w:t>
      </w:r>
      <w:r>
        <w:softHyphen/>
        <w:t>цию либеро. Порой Павел не справлялся с приё</w:t>
      </w:r>
      <w:r>
        <w:softHyphen/>
        <w:t>мом, но в целом картины не портил — после выиг</w:t>
      </w:r>
      <w:r>
        <w:softHyphen/>
        <w:t>ранного первого сета всех «львов» как будто под</w:t>
      </w:r>
      <w:r>
        <w:softHyphen/>
        <w:t>менили.</w:t>
      </w:r>
    </w:p>
    <w:p w:rsidR="00CD6A2A" w:rsidRDefault="00865F1A">
      <w:pPr>
        <w:pStyle w:val="23"/>
        <w:framePr w:w="5107" w:h="10624" w:hRule="exact" w:wrap="around" w:vAnchor="page" w:hAnchor="page" w:x="8799" w:y="6857"/>
        <w:shd w:val="clear" w:color="auto" w:fill="auto"/>
        <w:spacing w:before="0" w:after="233"/>
        <w:ind w:left="20" w:right="1080"/>
      </w:pPr>
      <w:r>
        <w:t>— Здорово начали, реализовали много доигровок, а соперники много ошибались на подаче —</w:t>
      </w:r>
      <w:r>
        <w:t xml:space="preserve"> за счёт этого появилась уверенность. Но во второй партии они это исправили, а мы в самых простых ситуа</w:t>
      </w:r>
      <w:r>
        <w:softHyphen/>
        <w:t>циях начали ошибаться, не могли довести приём до идеала, — прокомментировал очередное фи</w:t>
      </w:r>
      <w:r>
        <w:softHyphen/>
        <w:t>аско Колодинский.</w:t>
      </w:r>
    </w:p>
    <w:p w:rsidR="00CD6A2A" w:rsidRDefault="00865F1A">
      <w:pPr>
        <w:pStyle w:val="30"/>
        <w:framePr w:w="5107" w:h="10624" w:hRule="exact" w:wrap="around" w:vAnchor="page" w:hAnchor="page" w:x="8799" w:y="6857"/>
        <w:shd w:val="clear" w:color="auto" w:fill="auto"/>
        <w:spacing w:before="0" w:line="160" w:lineRule="exact"/>
        <w:ind w:left="20"/>
      </w:pPr>
      <w:r>
        <w:rPr>
          <w:rStyle w:val="31"/>
        </w:rPr>
        <w:t>14 марта.</w:t>
      </w:r>
    </w:p>
    <w:p w:rsidR="00CD6A2A" w:rsidRDefault="00865F1A">
      <w:pPr>
        <w:pStyle w:val="30"/>
        <w:framePr w:w="5107" w:h="10624" w:hRule="exact" w:wrap="around" w:vAnchor="page" w:hAnchor="page" w:x="8799" w:y="6857"/>
        <w:shd w:val="clear" w:color="auto" w:fill="auto"/>
        <w:spacing w:before="0" w:after="184"/>
        <w:ind w:left="20" w:right="1080"/>
      </w:pPr>
      <w:r>
        <w:rPr>
          <w:rStyle w:val="31"/>
        </w:rPr>
        <w:t>«сРакел» - «Белогорье» - 3:0 (25:14</w:t>
      </w:r>
      <w:r>
        <w:rPr>
          <w:rStyle w:val="31"/>
        </w:rPr>
        <w:t>, 25:17, 25:16)</w:t>
      </w:r>
    </w:p>
    <w:p w:rsidR="00CD6A2A" w:rsidRDefault="00865F1A">
      <w:pPr>
        <w:pStyle w:val="23"/>
        <w:framePr w:w="5107" w:h="10624" w:hRule="exact" w:wrap="around" w:vAnchor="page" w:hAnchor="page" w:x="8799" w:y="6857"/>
        <w:shd w:val="clear" w:color="auto" w:fill="auto"/>
        <w:tabs>
          <w:tab w:val="right" w:leader="dot" w:pos="5118"/>
        </w:tabs>
        <w:spacing w:before="0" w:after="0"/>
        <w:ind w:left="20"/>
      </w:pPr>
      <w:r>
        <w:t>Тренерский штаб «Белогорья» дал понять, что уже думает о следующем сезоне: на последний матч регулярного чемпионата «львы» привезли мо</w:t>
      </w:r>
      <w:r>
        <w:softHyphen/>
        <w:t xml:space="preserve">лодёжь. Поэтому неудивительно, что белгородцы проиграли все партии с огромным отставанием. </w:t>
      </w:r>
      <w:r>
        <w:tab/>
        <w:t>&gt;</w:t>
      </w:r>
    </w:p>
    <w:p w:rsidR="00CD6A2A" w:rsidRDefault="00865F1A">
      <w:pPr>
        <w:pStyle w:val="a8"/>
        <w:framePr w:w="821" w:h="1808" w:hRule="exact" w:wrap="around" w:vAnchor="page" w:hAnchor="page" w:x="7565" w:y="15087"/>
        <w:shd w:val="clear" w:color="auto" w:fill="auto"/>
        <w:ind w:left="20"/>
      </w:pPr>
      <w:r>
        <w:rPr>
          <w:rStyle w:val="a9"/>
        </w:rPr>
        <w:t>11 по</w:t>
      </w:r>
      <w:r>
        <w:rPr>
          <w:rStyle w:val="a9"/>
        </w:rPr>
        <w:softHyphen/>
        <w:t>ражен</w:t>
      </w:r>
      <w:r>
        <w:rPr>
          <w:rStyle w:val="a9"/>
        </w:rPr>
        <w:t>ий подряд — новый ап тирекорд «Белого</w:t>
      </w:r>
      <w:r>
        <w:rPr>
          <w:rStyle w:val="a9"/>
        </w:rPr>
        <w:softHyphen/>
        <w:t>рья »</w:t>
      </w:r>
    </w:p>
    <w:p w:rsidR="00CD6A2A" w:rsidRDefault="00865F1A">
      <w:pPr>
        <w:rPr>
          <w:sz w:val="2"/>
          <w:szCs w:val="2"/>
        </w:rPr>
        <w:sectPr w:rsidR="00CD6A2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4pt;margin-top:736.95pt;width:280.8pt;height:253.45pt;z-index:-251661824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CD6A2A" w:rsidRDefault="00865F1A">
      <w:pPr>
        <w:rPr>
          <w:sz w:val="2"/>
          <w:szCs w:val="2"/>
        </w:rPr>
      </w:pPr>
      <w:r>
        <w:lastRenderedPageBreak/>
        <w:pict>
          <v:rect id="_x0000_s1032" style="position:absolute;margin-left:299.5pt;margin-top:317.35pt;width:38.4pt;height:9.6pt;z-index:-251660800;mso-position-horizontal-relative:page;mso-position-vertical-relative:page" fillcolor="#363536" stroked="f">
            <w10:wrap anchorx="page" anchory="page"/>
          </v:rect>
        </w:pict>
      </w:r>
      <w:r>
        <w:pict>
          <v:rect id="_x0000_s1031" style="position:absolute;margin-left:354.95pt;margin-top:346.4pt;width:10.8pt;height:27.6pt;z-index:-251659776;mso-position-horizontal-relative:page;mso-position-vertical-relative:page" fillcolor="#373637" stroked="f">
            <w10:wrap anchorx="page" anchory="page"/>
          </v:rect>
        </w:pict>
      </w:r>
      <w:r>
        <w:pict>
          <v:rect id="_x0000_s1030" style="position:absolute;margin-left:210pt;margin-top:410pt;width:279.85pt;height:73.9pt;z-index:-251658752;mso-position-horizontal-relative:page;mso-position-vertical-relative:page" fillcolor="#363638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2.7pt;margin-top:488.95pt;width:60.9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92.3pt;margin-top:489.4pt;width:31.4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D6A2A" w:rsidRDefault="00865F1A">
      <w:pPr>
        <w:pStyle w:val="23"/>
        <w:framePr w:w="2866" w:h="806" w:hRule="exact" w:wrap="around" w:vAnchor="page" w:hAnchor="page" w:x="4172" w:y="8917"/>
        <w:shd w:val="clear" w:color="auto" w:fill="auto"/>
        <w:spacing w:before="0" w:after="0" w:line="250" w:lineRule="exact"/>
      </w:pPr>
      <w:r>
        <w:rPr>
          <w:rStyle w:val="11"/>
        </w:rPr>
        <w:t xml:space="preserve">Тренеры наигрывают </w:t>
      </w:r>
      <w:r w:rsidRPr="0033362C">
        <w:rPr>
          <w:rStyle w:val="11"/>
          <w:lang w:eastAsia="en-US" w:bidi="en-US"/>
        </w:rPr>
        <w:t>6</w:t>
      </w:r>
      <w:r w:rsidR="0033362C">
        <w:rPr>
          <w:rStyle w:val="11"/>
          <w:lang w:val="en-US" w:eastAsia="en-US" w:bidi="en-US"/>
        </w:rPr>
        <w:t>a</w:t>
      </w:r>
      <w:r>
        <w:rPr>
          <w:rStyle w:val="11"/>
        </w:rPr>
        <w:t>город</w:t>
      </w:r>
      <w:r>
        <w:rPr>
          <w:rStyle w:val="11"/>
        </w:rPr>
        <w:softHyphen/>
        <w:t xml:space="preserve">скую молодёжь </w:t>
      </w:r>
      <w:r>
        <w:rPr>
          <w:rStyle w:val="Tahoma65pt0pt"/>
        </w:rPr>
        <w:t>с</w:t>
      </w:r>
      <w:r w:rsidR="0033362C">
        <w:rPr>
          <w:rStyle w:val="11"/>
        </w:rPr>
        <w:t xml:space="preserve"> прицелом на буду</w:t>
      </w:r>
      <w:r>
        <w:rPr>
          <w:rStyle w:val="11"/>
        </w:rPr>
        <w:t>щий сезон</w:t>
      </w:r>
    </w:p>
    <w:p w:rsidR="00CD6A2A" w:rsidRDefault="0033362C">
      <w:pPr>
        <w:pStyle w:val="50"/>
        <w:framePr w:wrap="around" w:vAnchor="page" w:hAnchor="page" w:x="3121" w:y="3530"/>
        <w:shd w:val="clear" w:color="auto" w:fill="auto"/>
        <w:spacing w:line="150" w:lineRule="exact"/>
      </w:pPr>
      <w:r>
        <w:t>Спорт смена</w:t>
      </w:r>
    </w:p>
    <w:p w:rsidR="00CD6A2A" w:rsidRDefault="00865F1A">
      <w:pPr>
        <w:pStyle w:val="23"/>
        <w:framePr w:w="4037" w:h="3713" w:hRule="exact" w:wrap="around" w:vAnchor="page" w:hAnchor="page" w:x="4205" w:y="10277"/>
        <w:shd w:val="clear" w:color="auto" w:fill="auto"/>
        <w:spacing w:before="0" w:after="176"/>
        <w:ind w:right="20"/>
        <w:jc w:val="both"/>
      </w:pPr>
      <w:r>
        <w:t>— Мы ехали с надеждой, что благодаря молодец</w:t>
      </w:r>
      <w:r>
        <w:softHyphen/>
        <w:t>кому задору и куражу сможем побороться, — объ</w:t>
      </w:r>
      <w:r>
        <w:softHyphen/>
        <w:t xml:space="preserve">яснил </w:t>
      </w:r>
      <w:r>
        <w:t>экспериментальный состав старший тренер Алексей Казаков. — Но ребятам ещё не хватает точности исполнения элементов, в первую очередь в атаке, двум нашим связующим не хватает опыта. Но мы сейчас наигрываем их, чтобы в новом чем</w:t>
      </w:r>
      <w:r>
        <w:softHyphen/>
        <w:t>пионате они уже были частью к</w:t>
      </w:r>
      <w:r>
        <w:t>оманды. У нас пла</w:t>
      </w:r>
      <w:r>
        <w:softHyphen/>
        <w:t>ны на ребят большие, хотим, чтобы за «Белогорье» играли воспитанники белгородской школы.</w:t>
      </w:r>
    </w:p>
    <w:p w:rsidR="00CD6A2A" w:rsidRDefault="00865F1A">
      <w:pPr>
        <w:pStyle w:val="23"/>
        <w:framePr w:w="4037" w:h="3713" w:hRule="exact" w:wrap="around" w:vAnchor="page" w:hAnchor="page" w:x="4205" w:y="10277"/>
        <w:shd w:val="clear" w:color="auto" w:fill="auto"/>
        <w:spacing w:before="0" w:after="0" w:line="230" w:lineRule="exact"/>
        <w:ind w:right="20"/>
      </w:pPr>
      <w:r>
        <w:t>Провальный сезон и так был очевиден, но послед</w:t>
      </w:r>
      <w:r>
        <w:softHyphen/>
        <w:t>ний игровой день регулярного чемпионата доба</w:t>
      </w:r>
      <w:r>
        <w:softHyphen/>
        <w:t>вил красноречивую статистическую деталь: «Не</w:t>
      </w:r>
      <w:r>
        <w:softHyphen/>
        <w:t>фтяник» из О</w:t>
      </w:r>
      <w:r>
        <w:t>ренбурга разгромил красноярский «Енисей», и «Белогорье» упало с 13-го места на</w:t>
      </w:r>
    </w:p>
    <w:p w:rsidR="00CD6A2A" w:rsidRDefault="00865F1A">
      <w:pPr>
        <w:pStyle w:val="23"/>
        <w:framePr w:w="4027" w:h="3262" w:hRule="exact" w:wrap="around" w:vAnchor="page" w:hAnchor="page" w:x="8525" w:y="10277"/>
        <w:shd w:val="clear" w:color="auto" w:fill="auto"/>
        <w:spacing w:before="0"/>
        <w:ind w:right="60"/>
        <w:jc w:val="both"/>
      </w:pPr>
      <w:r>
        <w:t>14-е — на самое дно турнирной таблицы. Такого в истории волейбольного Белгорода никогда не бы</w:t>
      </w:r>
      <w:r>
        <w:softHyphen/>
        <w:t>ло. «Львам» нужно сказать спасибо ковиду, благо</w:t>
      </w:r>
      <w:r>
        <w:softHyphen/>
        <w:t>даря которому элитный дивизион по и</w:t>
      </w:r>
      <w:r>
        <w:t>тогам сезо</w:t>
      </w:r>
      <w:r>
        <w:softHyphen/>
        <w:t>на никто не покидает. Всероссийская федерация волейбола заранее сообщила, что на время панде</w:t>
      </w:r>
      <w:r>
        <w:softHyphen/>
        <w:t>мии суперлига будет закрытой.</w:t>
      </w:r>
    </w:p>
    <w:p w:rsidR="00CD6A2A" w:rsidRDefault="00865F1A">
      <w:pPr>
        <w:pStyle w:val="23"/>
        <w:framePr w:w="4027" w:h="3262" w:hRule="exact" w:wrap="around" w:vAnchor="page" w:hAnchor="page" w:x="8525" w:y="10277"/>
        <w:shd w:val="clear" w:color="auto" w:fill="auto"/>
        <w:spacing w:before="0" w:after="0"/>
        <w:ind w:right="60"/>
      </w:pPr>
      <w:r>
        <w:t>Так или иначе, у «Белогорья» ещё есть шанс уйти с последней позиции. Пока в «Финале шести» будет определяться чемпион Росс</w:t>
      </w:r>
      <w:r>
        <w:t>ии, наша команда по</w:t>
      </w:r>
      <w:r>
        <w:softHyphen/>
        <w:t>участвует в турнире за 11-14-е места. Он пройдёт в два тура: первый состоится 1-4 апреля в Орен</w:t>
      </w:r>
      <w:r>
        <w:softHyphen/>
        <w:t>бурге, второй — 8-11 апреля в Сургуте.</w:t>
      </w:r>
    </w:p>
    <w:p w:rsidR="00CD6A2A" w:rsidRDefault="00865F1A">
      <w:pPr>
        <w:pStyle w:val="33"/>
        <w:framePr w:w="6254" w:h="615" w:hRule="exact" w:wrap="around" w:vAnchor="page" w:hAnchor="page" w:x="5271" w:y="14163"/>
        <w:shd w:val="clear" w:color="auto" w:fill="auto"/>
        <w:spacing w:after="0"/>
        <w:ind w:left="20"/>
      </w:pPr>
      <w:bookmarkStart w:id="2" w:name="bookmark2"/>
      <w:r>
        <w:t>Итоговая таблица предварительного этапа суперлиги-2020/21</w:t>
      </w:r>
      <w:bookmarkEnd w:id="2"/>
    </w:p>
    <w:tbl>
      <w:tblPr>
        <w:tblpPr w:leftFromText="180" w:rightFromText="180" w:vertAnchor="text" w:horzAnchor="page" w:tblpX="4566" w:tblpY="14624"/>
        <w:tblOverlap w:val="never"/>
        <w:tblW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3343"/>
        <w:gridCol w:w="519"/>
        <w:gridCol w:w="398"/>
        <w:gridCol w:w="479"/>
        <w:gridCol w:w="495"/>
        <w:gridCol w:w="925"/>
      </w:tblGrid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"/>
              </w:rPr>
              <w:t>№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MicrosoftSansSerif"/>
              </w:rPr>
              <w:t>Команда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"/>
              </w:rPr>
              <w:t>И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"/>
              </w:rPr>
              <w:t>В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MicrosoftSansSerif"/>
              </w:rPr>
              <w:t>П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"/>
              </w:rPr>
              <w:t>Оч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"/>
              </w:rPr>
              <w:t>Партии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MicrosoftSansSerif0"/>
              </w:rPr>
              <w:t>1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0"/>
              </w:rPr>
              <w:t>Динамо (Москва)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0"/>
              </w:rPr>
              <w:t>26 I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0"/>
              </w:rPr>
              <w:t>24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0"/>
              </w:rPr>
              <w:t>2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0"/>
              </w:rPr>
              <w:t>67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0"/>
              </w:rPr>
              <w:t>74:22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0"/>
              </w:rPr>
              <w:t>2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0"/>
              </w:rPr>
              <w:t>Кузбасс(Кемерово)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0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0"/>
              </w:rPr>
              <w:t>22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0"/>
              </w:rPr>
              <w:t>4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0"/>
              </w:rPr>
              <w:t>61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0"/>
              </w:rPr>
              <w:t>69:32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3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Зенит-Казань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19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7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54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62:35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4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4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Зенит (Санкт-Петербург)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18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55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59:33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4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5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Факел (Новый Уренгой)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18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54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64:41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6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Локомотив(Новосибирск)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17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9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53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60:33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MicrosoftSansSerif1"/>
              </w:rPr>
              <w:t>7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Урал (Уфа)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14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12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40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47:47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8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АСК (Нижний Новгород)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11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15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31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44:61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9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Югра-Самотлор (Нижневартовск)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9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17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32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41:57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1"/>
              </w:rPr>
              <w:t>Ю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1"/>
              </w:rPr>
              <w:t>Енисей(Красноярск)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1"/>
              </w:rPr>
              <w:t>26 :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1"/>
              </w:rPr>
              <w:t>8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1"/>
              </w:rPr>
              <w:t>18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1"/>
              </w:rPr>
              <w:t>25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1"/>
              </w:rPr>
              <w:t>38:57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"/>
              </w:rPr>
              <w:t>11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"/>
              </w:rPr>
              <w:t>Газпром-Югра (Сургут)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"/>
              </w:rPr>
              <w:t xml:space="preserve">26 </w:t>
            </w:r>
            <w:r>
              <w:rPr>
                <w:rStyle w:val="MicrosoftSansSerif85pt0pt"/>
                <w:vertAlign w:val="superscript"/>
              </w:rPr>
              <w:t>: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"/>
              </w:rPr>
              <w:t>6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"/>
              </w:rPr>
              <w:t>20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"/>
              </w:rPr>
              <w:t>21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"/>
              </w:rPr>
              <w:t>34:67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"/>
              </w:rPr>
              <w:t>12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"/>
              </w:rPr>
              <w:t>Нефтяник (Оренбург)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"/>
              </w:rPr>
              <w:t>6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"/>
              </w:rPr>
              <w:t>20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"/>
              </w:rPr>
              <w:t>16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"/>
              </w:rPr>
              <w:t>32:69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4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"/>
              </w:rPr>
              <w:t>13</w:t>
            </w:r>
          </w:p>
        </w:tc>
        <w:tc>
          <w:tcPr>
            <w:tcW w:w="3343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80"/>
            </w:pPr>
            <w:r>
              <w:rPr>
                <w:rStyle w:val="MicrosoftSansSerif85pt0pt"/>
              </w:rPr>
              <w:t>Динамо-ЛО (Ленинградская обл.)</w:t>
            </w:r>
          </w:p>
        </w:tc>
        <w:tc>
          <w:tcPr>
            <w:tcW w:w="51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MicrosoftSansSerif85pt0pt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MicrosoftSansSerif85pt0pt"/>
              </w:rPr>
              <w:t>5</w:t>
            </w:r>
          </w:p>
        </w:tc>
        <w:tc>
          <w:tcPr>
            <w:tcW w:w="479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MicrosoftSansSerif85pt0pt"/>
              </w:rPr>
              <w:t>21</w:t>
            </w:r>
          </w:p>
        </w:tc>
        <w:tc>
          <w:tcPr>
            <w:tcW w:w="49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MicrosoftSansSerif85pt0pt"/>
              </w:rPr>
              <w:t>20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MicrosoftSansSerif85pt0pt"/>
              </w:rPr>
              <w:t>34:64</w:t>
            </w:r>
          </w:p>
        </w:tc>
      </w:tr>
      <w:tr w:rsidR="0033362C" w:rsidTr="0033362C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24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"/>
              </w:rPr>
              <w:t>14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MicrosoftSansSerif"/>
              </w:rPr>
              <w:t>Белогорье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33362C" w:rsidRP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20"/>
              <w:rPr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33362C" w:rsidRP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00"/>
              <w:rPr>
                <w:sz w:val="24"/>
                <w:szCs w:val="24"/>
              </w:rPr>
            </w:pPr>
            <w:r w:rsidRPr="0033362C">
              <w:rPr>
                <w:rStyle w:val="MicrosoftSansSerif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33362C" w:rsidRP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180"/>
              <w:rPr>
                <w:sz w:val="24"/>
                <w:szCs w:val="24"/>
              </w:rPr>
            </w:pPr>
            <w:r w:rsidRPr="0033362C">
              <w:rPr>
                <w:rStyle w:val="MicrosoftSansSerif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33362C" w:rsidRPr="0033362C" w:rsidRDefault="0033362C" w:rsidP="00333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62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3362C" w:rsidRPr="0033362C" w:rsidRDefault="0033362C" w:rsidP="0033362C">
            <w:pPr>
              <w:pStyle w:val="23"/>
              <w:shd w:val="clear" w:color="auto" w:fill="auto"/>
              <w:spacing w:before="0" w:after="0" w:line="160" w:lineRule="exact"/>
              <w:ind w:left="200"/>
              <w:rPr>
                <w:sz w:val="24"/>
                <w:szCs w:val="24"/>
              </w:rPr>
            </w:pPr>
            <w:r w:rsidRPr="0033362C">
              <w:rPr>
                <w:rStyle w:val="MicrosoftSansSerif"/>
                <w:rFonts w:ascii="Times New Roman" w:hAnsi="Times New Roman" w:cs="Times New Roman"/>
                <w:b w:val="0"/>
                <w:sz w:val="24"/>
                <w:szCs w:val="24"/>
              </w:rPr>
              <w:t>28:68</w:t>
            </w:r>
          </w:p>
        </w:tc>
      </w:tr>
    </w:tbl>
    <w:p w:rsidR="00CD6A2A" w:rsidRDefault="00865F1A">
      <w:pPr>
        <w:rPr>
          <w:sz w:val="2"/>
          <w:szCs w:val="2"/>
        </w:rPr>
      </w:pPr>
      <w:bookmarkStart w:id="3" w:name="_GoBack"/>
      <w:bookmarkEnd w:id="3"/>
      <w:r>
        <w:pict>
          <v:shape id="_x0000_s1027" type="#_x0000_t75" style="position:absolute;margin-left:131.5pt;margin-top:145.5pt;width:551.5pt;height:344.65pt;z-index:-251657728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CD6A2A" w:rsidSect="0033362C">
      <w:pgSz w:w="16838" w:h="23810"/>
      <w:pgMar w:top="340" w:right="340" w:bottom="340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1A" w:rsidRDefault="00865F1A">
      <w:r>
        <w:separator/>
      </w:r>
    </w:p>
  </w:endnote>
  <w:endnote w:type="continuationSeparator" w:id="0">
    <w:p w:rsidR="00865F1A" w:rsidRDefault="008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1A" w:rsidRDefault="00865F1A"/>
  </w:footnote>
  <w:footnote w:type="continuationSeparator" w:id="0">
    <w:p w:rsidR="00865F1A" w:rsidRDefault="00865F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6A2A"/>
    <w:rsid w:val="0033362C"/>
    <w:rsid w:val="00865F1A"/>
    <w:rsid w:val="00C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docId w15:val="{0CDB1AD7-840C-4E1E-AD07-8E9CEBD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pt">
    <w:name w:val="Колонтитул + Интервал 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4"/>
      <w:szCs w:val="11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65pt0pt">
    <w:name w:val="Основной текст + Tahoma;6;5 pt;Курсив;Интервал 0 pt"/>
    <w:basedOn w:val="a6"/>
    <w:rPr>
      <w:rFonts w:ascii="Tahoma" w:eastAsia="Tahoma" w:hAnsi="Tahoma" w:cs="Tahoma"/>
      <w:b w:val="0"/>
      <w:bCs w:val="0"/>
      <w:i/>
      <w:iCs/>
      <w:smallCaps w:val="0"/>
      <w:strike w:val="0"/>
      <w:color w:val="EBEBE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2">
    <w:name w:val="Заголовок №3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MicrosoftSansSerif85pt0pt">
    <w:name w:val="Основной текст + Microsoft Sans Serif;8;5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">
    <w:name w:val="Основной текст + Microsoft Sans Serif;Полужирный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0">
    <w:name w:val="Основной текст + Microsoft Sans Serif;Полужирный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85pt0pt0">
    <w:name w:val="Основной текст + Microsoft Sans Serif;8;5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1">
    <w:name w:val="Основной текст + Microsoft Sans Serif;Полужирный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85pt0pt1">
    <w:name w:val="Основной текст + Microsoft Sans Serif;8;5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114"/>
      <w:szCs w:val="1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509" w:lineRule="exact"/>
      <w:outlineLvl w:val="1"/>
    </w:pPr>
    <w:rPr>
      <w:rFonts w:ascii="Times New Roman" w:eastAsia="Times New Roman" w:hAnsi="Times New Roman" w:cs="Times New Roman"/>
      <w:spacing w:val="4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26" w:lineRule="exact"/>
    </w:pPr>
    <w:rPr>
      <w:rFonts w:ascii="Microsoft Sans Serif" w:eastAsia="Microsoft Sans Serif" w:hAnsi="Microsoft Sans Serif" w:cs="Microsoft Sans Serif"/>
      <w:b/>
      <w:bCs/>
      <w:spacing w:val="4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</w:pPr>
    <w:rPr>
      <w:rFonts w:ascii="Microsoft Sans Serif" w:eastAsia="Microsoft Sans Serif" w:hAnsi="Microsoft Sans Serif" w:cs="Microsoft Sans Serif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30" w:lineRule="exact"/>
    </w:pPr>
    <w:rPr>
      <w:rFonts w:ascii="Microsoft Sans Serif" w:eastAsia="Microsoft Sans Serif" w:hAnsi="Microsoft Sans Serif" w:cs="Microsoft Sans Serif"/>
      <w:spacing w:val="1"/>
      <w:sz w:val="16"/>
      <w:szCs w:val="16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80" w:after="180" w:line="226" w:lineRule="exac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269" w:lineRule="exact"/>
      <w:jc w:val="center"/>
      <w:outlineLvl w:val="2"/>
    </w:pPr>
    <w:rPr>
      <w:rFonts w:ascii="Microsoft Sans Serif" w:eastAsia="Microsoft Sans Serif" w:hAnsi="Microsoft Sans Serif" w:cs="Microsoft Sans Serif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2021-03-26T11:28:00Z</dcterms:created>
  <dcterms:modified xsi:type="dcterms:W3CDTF">2021-03-26T11:35:00Z</dcterms:modified>
</cp:coreProperties>
</file>